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89" w:rsidRDefault="004B6AA5">
      <w:pPr>
        <w:spacing w:line="276" w:lineRule="auto"/>
        <w:jc w:val="center"/>
        <w:divId w:val="27142805"/>
      </w:pPr>
      <w:r>
        <w:rPr>
          <w:color w:val="0070C0"/>
          <w:sz w:val="22"/>
          <w:szCs w:val="22"/>
        </w:rPr>
        <w:t>Министерство науки и высшего образования Российской Федерации</w:t>
      </w:r>
    </w:p>
    <w:p w:rsidR="009E4A89" w:rsidRDefault="004B6AA5">
      <w:pPr>
        <w:jc w:val="center"/>
        <w:divId w:val="27142805"/>
      </w:pPr>
      <w:r>
        <w:rPr>
          <w:color w:val="0070C0"/>
          <w:sz w:val="22"/>
          <w:szCs w:val="22"/>
        </w:rPr>
        <w:t> </w:t>
      </w:r>
    </w:p>
    <w:p w:rsidR="009E4A89" w:rsidRDefault="004B6AA5">
      <w:pPr>
        <w:spacing w:line="276" w:lineRule="auto"/>
        <w:jc w:val="center"/>
        <w:divId w:val="27142805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 </w:t>
      </w:r>
    </w:p>
    <w:p w:rsidR="009E4A89" w:rsidRDefault="004B6AA5">
      <w:pPr>
        <w:spacing w:line="276" w:lineRule="auto"/>
        <w:jc w:val="center"/>
        <w:divId w:val="27142805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 </w:t>
      </w:r>
    </w:p>
    <w:p w:rsidR="009E4A89" w:rsidRDefault="004B6AA5">
      <w:pPr>
        <w:spacing w:line="276" w:lineRule="auto"/>
        <w:jc w:val="center"/>
        <w:divId w:val="27142805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институт</w:t>
      </w:r>
    </w:p>
    <w:p w:rsidR="009E4A89" w:rsidRDefault="004B6AA5">
      <w:pPr>
        <w:spacing w:line="276" w:lineRule="auto"/>
        <w:jc w:val="center"/>
        <w:divId w:val="27142805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)»</w:t>
      </w:r>
    </w:p>
    <w:p w:rsidR="009E4A89" w:rsidRDefault="004B6AA5">
      <w:pPr>
        <w:spacing w:line="276" w:lineRule="auto"/>
        <w:jc w:val="center"/>
        <w:divId w:val="27142805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9E4A89" w:rsidRDefault="004B6AA5">
      <w:pPr>
        <w:spacing w:after="200" w:line="276" w:lineRule="auto"/>
        <w:jc w:val="center"/>
        <w:divId w:val="27142805"/>
      </w:pPr>
      <w:r>
        <w:rPr>
          <w:b/>
          <w:bCs/>
          <w:color w:val="0070C0"/>
          <w:sz w:val="28"/>
          <w:szCs w:val="28"/>
        </w:rPr>
        <w:t>ПРИКАЗ</w:t>
      </w:r>
    </w:p>
    <w:p w:rsidR="009E4A89" w:rsidRDefault="009E4A89">
      <w:pPr>
        <w:divId w:val="27142805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0"/>
        <w:gridCol w:w="4275"/>
      </w:tblGrid>
      <w:tr w:rsidR="009E4A89">
        <w:trPr>
          <w:divId w:val="143513307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9E4A89" w:rsidRDefault="004B6AA5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29.12.2023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9E4A89" w:rsidRDefault="004B6AA5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5400-1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9E4A89" w:rsidRDefault="004B6AA5">
      <w:pPr>
        <w:spacing w:before="100" w:beforeAutospacing="1" w:after="100" w:afterAutospacing="1"/>
        <w:divId w:val="1007829011"/>
      </w:pPr>
      <w:r>
        <w:t> </w:t>
      </w:r>
    </w:p>
    <w:p w:rsidR="009E4A89" w:rsidRPr="007C344B" w:rsidRDefault="004B6AA5">
      <w:pPr>
        <w:spacing w:before="100" w:beforeAutospacing="1" w:after="100" w:afterAutospacing="1"/>
        <w:divId w:val="1007829011"/>
        <w:rPr>
          <w:sz w:val="28"/>
        </w:rPr>
      </w:pPr>
      <w:bookmarkStart w:id="0" w:name="Заголовок"/>
      <w:bookmarkStart w:id="1" w:name="_GoBack"/>
      <w:bookmarkEnd w:id="0"/>
      <w:r w:rsidRPr="007C344B">
        <w:rPr>
          <w:b/>
          <w:bCs/>
          <w:sz w:val="28"/>
        </w:rPr>
        <w:t>«О внесении и утверждении изменений учетной политики, ранее утвержденной приказом № 2905-1 от 24.12.2020»</w:t>
      </w:r>
    </w:p>
    <w:bookmarkEnd w:id="1"/>
    <w:p w:rsidR="009E4A89" w:rsidRDefault="009E4A89">
      <w:pPr>
        <w:spacing w:before="100" w:beforeAutospacing="1" w:after="100" w:afterAutospacing="1"/>
        <w:jc w:val="center"/>
        <w:divId w:val="1007829011"/>
      </w:pPr>
    </w:p>
    <w:p w:rsidR="009E4A89" w:rsidRDefault="004B6AA5">
      <w:pPr>
        <w:spacing w:before="100" w:beforeAutospacing="1" w:after="100" w:afterAutospacing="1"/>
        <w:jc w:val="center"/>
        <w:divId w:val="1007829011"/>
      </w:pPr>
      <w:r>
        <w:rPr>
          <w:b/>
          <w:bCs/>
          <w:sz w:val="28"/>
          <w:szCs w:val="28"/>
          <w:shd w:val="clear" w:color="auto" w:fill="FFFFFF"/>
        </w:rPr>
        <w:t>Внести в действие начиная с 01 января 2024 г. следующие изменения:</w:t>
      </w:r>
    </w:p>
    <w:p w:rsidR="009E4A89" w:rsidRDefault="009E4A89">
      <w:pPr>
        <w:spacing w:before="100" w:beforeAutospacing="1" w:after="100" w:afterAutospacing="1"/>
        <w:jc w:val="center"/>
        <w:divId w:val="1007829011"/>
      </w:pPr>
    </w:p>
    <w:p w:rsidR="009E4A89" w:rsidRDefault="004B6AA5">
      <w:pPr>
        <w:spacing w:before="100" w:beforeAutospacing="1" w:after="100" w:afterAutospacing="1"/>
        <w:jc w:val="center"/>
        <w:divId w:val="1007829011"/>
      </w:pPr>
      <w:r>
        <w:rPr>
          <w:b/>
          <w:bCs/>
          <w:sz w:val="28"/>
          <w:szCs w:val="28"/>
          <w:shd w:val="clear" w:color="auto" w:fill="FFFFFF"/>
        </w:rPr>
        <w:t>1) Изменения в части порядка формирования и изменения (увеличения) первоначальной стоимости НМА, приобретенных за счет разных источников финансирования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bookmarkStart w:id="2" w:name="sub_202702"/>
      <w:r>
        <w:rPr>
          <w:sz w:val="28"/>
          <w:szCs w:val="28"/>
        </w:rPr>
        <w:t>1. Изменение первоначальной (балансовой) стоимости объектов нефинансовых активов производится в случаях достройки, дооборудования, реконструкции, в том числе с элементами реставрации, технического перевооружения, модернизации, частичной ликвидации (</w:t>
      </w:r>
      <w:proofErr w:type="spellStart"/>
      <w:r>
        <w:rPr>
          <w:sz w:val="28"/>
          <w:szCs w:val="28"/>
        </w:rPr>
        <w:t>разукомплектации</w:t>
      </w:r>
      <w:proofErr w:type="spellEnd"/>
      <w:r>
        <w:rPr>
          <w:sz w:val="28"/>
          <w:szCs w:val="28"/>
        </w:rPr>
        <w:t>), а также переоценки объектов нефинансовых активов либо их обесценении.</w:t>
      </w:r>
      <w:bookmarkEnd w:id="2"/>
    </w:p>
    <w:p w:rsidR="009E4A89" w:rsidRDefault="004B6AA5">
      <w:pPr>
        <w:spacing w:before="100" w:beforeAutospacing="1"/>
        <w:ind w:firstLine="709"/>
        <w:jc w:val="both"/>
        <w:divId w:val="1007829011"/>
      </w:pPr>
      <w:bookmarkStart w:id="3" w:name="sub_202703"/>
      <w:r>
        <w:rPr>
          <w:sz w:val="28"/>
          <w:szCs w:val="28"/>
        </w:rPr>
        <w:t>Затраты на модернизацию, дооборудование, реконструкцию, в том числе с элементами реставрации, техническое перевооружение объекта нефинансового актива относятся на увеличение первоначальной (балансовой) стоимости такого объекта после окончания предусмотренных договором (сметой) объемов работ и при условии улучшения (повышения) первоначально принятых нормативных показателей функционирования объекта нефинансовых активов (срока полезного использования, мощности, качества применения и т.п.) по результатам проведенных работ.</w:t>
      </w:r>
      <w:bookmarkEnd w:id="3"/>
    </w:p>
    <w:p w:rsidR="009E4A89" w:rsidRDefault="004B6AA5">
      <w:pPr>
        <w:spacing w:before="100" w:beforeAutospacing="1" w:after="100" w:afterAutospacing="1"/>
        <w:jc w:val="both"/>
        <w:divId w:val="1007829011"/>
      </w:pPr>
      <w:r>
        <w:rPr>
          <w:i/>
          <w:iCs/>
          <w:sz w:val="28"/>
          <w:szCs w:val="28"/>
          <w:shd w:val="clear" w:color="auto" w:fill="FFFFFF"/>
        </w:rPr>
        <w:t>Основание: пункт 27 Инструкции 157н от 01.12.2010г.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r>
        <w:rPr>
          <w:sz w:val="28"/>
          <w:szCs w:val="28"/>
          <w:shd w:val="clear" w:color="auto" w:fill="FFFFFF"/>
        </w:rPr>
        <w:lastRenderedPageBreak/>
        <w:t xml:space="preserve">2. В целях определения первоначальной стоимости объекта нематериальных активов при его приобретении за плату, создании фактические вложения учреждения формируются </w:t>
      </w:r>
      <w:r>
        <w:rPr>
          <w:b/>
          <w:bCs/>
          <w:sz w:val="28"/>
          <w:szCs w:val="28"/>
          <w:shd w:val="clear" w:color="auto" w:fill="FFFFFF"/>
        </w:rPr>
        <w:t>с учетом сумм налога на добавленную стоимость</w:t>
      </w:r>
      <w:r>
        <w:rPr>
          <w:sz w:val="28"/>
          <w:szCs w:val="28"/>
          <w:shd w:val="clear" w:color="auto" w:fill="FFFFFF"/>
        </w:rPr>
        <w:t>, предъявленных учреждению поставщиками (подрядчиками, исполнителями), кроме приобретения, создания объекта в рамках деятельности учреждения, облагаемой НДС, если иное не предусмотрено </w:t>
      </w:r>
      <w:hyperlink r:id="rId4" w:anchor="/document/10900200/entry/20001" w:history="1">
        <w:r>
          <w:rPr>
            <w:rStyle w:val="a3"/>
            <w:sz w:val="28"/>
            <w:szCs w:val="28"/>
          </w:rPr>
          <w:t>налоговым законодательством</w:t>
        </w:r>
      </w:hyperlink>
      <w:r>
        <w:rPr>
          <w:sz w:val="28"/>
          <w:szCs w:val="28"/>
          <w:shd w:val="clear" w:color="auto" w:fill="FFFFFF"/>
        </w:rPr>
        <w:t> Российской Федерации.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i/>
          <w:iCs/>
          <w:sz w:val="28"/>
          <w:szCs w:val="28"/>
          <w:shd w:val="clear" w:color="auto" w:fill="FFFFFF"/>
        </w:rPr>
        <w:t>Основание: пункт 62 Инструкции 157н от 01.12.2010г.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r>
        <w:rPr>
          <w:sz w:val="28"/>
          <w:szCs w:val="28"/>
          <w:shd w:val="clear" w:color="auto" w:fill="FFFFFF"/>
        </w:rPr>
        <w:t xml:space="preserve">3. Отражение в бухгалтерском учете учреждения операции по поступлению, внутреннему перемещению в связи с </w:t>
      </w:r>
      <w:proofErr w:type="spellStart"/>
      <w:r>
        <w:rPr>
          <w:sz w:val="28"/>
          <w:szCs w:val="28"/>
          <w:shd w:val="clear" w:color="auto" w:fill="FFFFFF"/>
        </w:rPr>
        <w:t>реклассификацией</w:t>
      </w:r>
      <w:proofErr w:type="spellEnd"/>
      <w:r>
        <w:rPr>
          <w:sz w:val="28"/>
          <w:szCs w:val="28"/>
          <w:shd w:val="clear" w:color="auto" w:fill="FFFFFF"/>
        </w:rPr>
        <w:t xml:space="preserve">, выбытию (в том числе по основанию принятия решения о списании) объектов нематериальных активов </w:t>
      </w:r>
      <w:r>
        <w:rPr>
          <w:b/>
          <w:bCs/>
          <w:sz w:val="28"/>
          <w:szCs w:val="28"/>
          <w:shd w:val="clear" w:color="auto" w:fill="FFFFFF"/>
        </w:rPr>
        <w:t>осуществляется на основании решения комиссии учреждения по поступлению и выбытию активов</w:t>
      </w:r>
      <w:r>
        <w:rPr>
          <w:sz w:val="28"/>
          <w:szCs w:val="28"/>
          <w:shd w:val="clear" w:color="auto" w:fill="FFFFFF"/>
        </w:rPr>
        <w:t>, оформленного соответствующим первичным (сводным) учетным документом согласно Инструкции по применению Планов счетов.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i/>
          <w:iCs/>
          <w:sz w:val="28"/>
          <w:szCs w:val="28"/>
          <w:shd w:val="clear" w:color="auto" w:fill="FFFFFF"/>
        </w:rPr>
        <w:t>Основание: пункт 63 Инструкции 157н от 01.12.2010г.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r>
        <w:rPr>
          <w:sz w:val="28"/>
          <w:szCs w:val="28"/>
          <w:shd w:val="clear" w:color="auto" w:fill="FFFFFF"/>
        </w:rPr>
        <w:t>4. Передача суммы вложений в нефинансовый актив, при приобретении (создании) объекта за счет разных источников финансового обеспечения, в целях принятия его к учету отражается по дебету счета 030406830 "Уменьшение расчетов с прочими кредиторами" и кредиту соответствующих счетов аналитического учета счета </w:t>
      </w:r>
      <w:hyperlink r:id="rId5" w:anchor="/document/12181733/entry/106" w:history="1">
        <w:r>
          <w:rPr>
            <w:rStyle w:val="a3"/>
            <w:sz w:val="28"/>
            <w:szCs w:val="28"/>
          </w:rPr>
          <w:t>010600000</w:t>
        </w:r>
      </w:hyperlink>
      <w:r>
        <w:rPr>
          <w:sz w:val="28"/>
          <w:szCs w:val="28"/>
          <w:shd w:val="clear" w:color="auto" w:fill="FFFFFF"/>
        </w:rPr>
        <w:t> "Вложения в нефинансовые активы".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i/>
          <w:iCs/>
          <w:sz w:val="28"/>
          <w:szCs w:val="28"/>
          <w:shd w:val="clear" w:color="auto" w:fill="FFFFFF"/>
        </w:rPr>
        <w:t>Основание: пункт 175 Инструкции 183н от 23.12.2010г.</w:t>
      </w:r>
    </w:p>
    <w:p w:rsidR="009E4A89" w:rsidRPr="007C344B" w:rsidRDefault="004B6AA5" w:rsidP="007C344B">
      <w:pPr>
        <w:spacing w:before="100" w:beforeAutospacing="1"/>
        <w:ind w:firstLine="709"/>
        <w:jc w:val="both"/>
        <w:divId w:val="1007829011"/>
        <w:rPr>
          <w:sz w:val="28"/>
          <w:szCs w:val="28"/>
          <w:shd w:val="clear" w:color="auto" w:fill="FFFFFF"/>
        </w:rPr>
      </w:pPr>
      <w:r w:rsidRPr="007C344B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5. Расходы на НИР в целях налогообложения прибыли учитываются в обычном порядке, если они соответствуют общим условиям признания расходов в налоговом учете, то есть документально подтверждены, экономически обоснованы, осуществлены за счет средств, полученных в рамках приносящей доход деятельности, и произведены для того, чтобы результаты НИР использовать в рамках приносящей доход деятельности (ст. 252 НК РФ).</w:t>
      </w:r>
    </w:p>
    <w:p w:rsidR="009E4A89" w:rsidRPr="007C344B" w:rsidRDefault="004B6AA5" w:rsidP="007C344B">
      <w:pPr>
        <w:spacing w:before="100" w:beforeAutospacing="1"/>
        <w:ind w:firstLine="709"/>
        <w:jc w:val="both"/>
        <w:divId w:val="100782901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Расходы на НИР учитываются в составе прочих расходов в отчетном (налоговом) периоде, в котором завершены исследования или разработки (отдельные этапы работ), независимо от полученного результата (п. 4, 5 ст. 262 НК РФ, Письмо Минфина РФ от 13.12.2011 N 03-03-06/1/820).</w:t>
      </w:r>
    </w:p>
    <w:p w:rsidR="009E4A89" w:rsidRDefault="004B6AA5" w:rsidP="007C344B">
      <w:pPr>
        <w:spacing w:before="100" w:beforeAutospacing="1"/>
        <w:ind w:firstLine="709"/>
        <w:jc w:val="both"/>
        <w:divId w:val="1007829011"/>
      </w:pPr>
      <w:r>
        <w:rPr>
          <w:sz w:val="28"/>
          <w:szCs w:val="28"/>
          <w:shd w:val="clear" w:color="auto" w:fill="FFFFFF"/>
        </w:rPr>
        <w:t xml:space="preserve">Если в соответствии с ГК РФ результат интеллектуальной деятельности признается и охраняется при условии его государственной регистрации, </w:t>
      </w:r>
      <w:r>
        <w:rPr>
          <w:sz w:val="28"/>
          <w:szCs w:val="28"/>
          <w:shd w:val="clear" w:color="auto" w:fill="FFFFFF"/>
        </w:rPr>
        <w:lastRenderedPageBreak/>
        <w:t>признание нематериального актива в налоговом учете или начало включения суммы расходов на НИОКР в состав прочих расходов в течение установленного срока осуществляется на дату государственной регистрации такого результата интеллектуальной деятельности (письма ФНС РФ от 01.10.2019 N СД-4-3/19955, от 20.05.2015 N ГД-4-3/8484@ (п. 1), от 29.04.2013 N ЕД-4-3/7892@ (п. 2)).</w:t>
      </w:r>
      <w:r>
        <w:rPr>
          <w:sz w:val="28"/>
          <w:szCs w:val="28"/>
          <w:shd w:val="clear" w:color="auto" w:fill="FFFFFF"/>
        </w:rPr>
        <w:br w:type="page"/>
      </w:r>
    </w:p>
    <w:p w:rsidR="009E4A89" w:rsidRDefault="004B6AA5" w:rsidP="007C344B">
      <w:pPr>
        <w:spacing w:before="100" w:beforeAutospacing="1"/>
        <w:jc w:val="center"/>
        <w:divId w:val="1007829011"/>
      </w:pPr>
      <w:r>
        <w:rPr>
          <w:rFonts w:eastAsia="SimSun"/>
          <w:b/>
          <w:bCs/>
          <w:sz w:val="28"/>
        </w:rPr>
        <w:lastRenderedPageBreak/>
        <w:t>2) Протокол рассмотрения договора научно-исследовательских</w:t>
      </w:r>
      <w:r>
        <w:rPr>
          <w:b/>
          <w:bCs/>
        </w:rPr>
        <w:t>,</w:t>
      </w:r>
    </w:p>
    <w:p w:rsidR="009E4A89" w:rsidRDefault="004B6AA5">
      <w:pPr>
        <w:spacing w:before="100" w:beforeAutospacing="1"/>
        <w:jc w:val="center"/>
        <w:divId w:val="1007829011"/>
      </w:pPr>
      <w:r>
        <w:rPr>
          <w:rFonts w:eastAsia="SimSun"/>
          <w:b/>
          <w:bCs/>
          <w:sz w:val="28"/>
        </w:rPr>
        <w:t>опытно-конструкторских и технологических работ между МФТИ, Физтех и</w:t>
      </w:r>
      <w:r>
        <w:rPr>
          <w:rFonts w:eastAsia="SimSun"/>
          <w:bCs/>
          <w:sz w:val="28"/>
        </w:rPr>
        <w:t xml:space="preserve"> _____________________________________________________________</w:t>
      </w:r>
    </w:p>
    <w:p w:rsidR="009E4A89" w:rsidRDefault="004B6AA5">
      <w:pPr>
        <w:spacing w:before="100" w:beforeAutospacing="1"/>
        <w:jc w:val="center"/>
        <w:divId w:val="1007829011"/>
      </w:pPr>
      <w:r>
        <w:rPr>
          <w:rFonts w:eastAsia="SimSun"/>
          <w:bCs/>
          <w:sz w:val="16"/>
          <w:szCs w:val="16"/>
        </w:rPr>
        <w:t>название организации</w:t>
      </w:r>
    </w:p>
    <w:p w:rsidR="009E4A89" w:rsidRDefault="004B6AA5">
      <w:pPr>
        <w:spacing w:before="100" w:beforeAutospacing="1" w:after="120" w:line="360" w:lineRule="auto"/>
        <w:jc w:val="center"/>
        <w:divId w:val="1007829011"/>
      </w:pPr>
      <w:r>
        <w:rPr>
          <w:rFonts w:eastAsia="SimSun"/>
          <w:bCs/>
          <w:sz w:val="28"/>
        </w:rPr>
        <w:t> по теме: «___________________________________________»</w:t>
      </w:r>
    </w:p>
    <w:p w:rsidR="009E4A89" w:rsidRDefault="004B6AA5">
      <w:pPr>
        <w:spacing w:before="100" w:beforeAutospacing="1"/>
        <w:divId w:val="1007829011"/>
      </w:pPr>
      <w:r>
        <w:rPr>
          <w:rFonts w:eastAsia="SimSun"/>
          <w:bCs/>
          <w:sz w:val="28"/>
        </w:rPr>
        <w:t xml:space="preserve">_____________                                                                              </w:t>
      </w:r>
      <w:proofErr w:type="spellStart"/>
      <w:r>
        <w:rPr>
          <w:rFonts w:eastAsia="SimSun"/>
          <w:bCs/>
          <w:sz w:val="28"/>
        </w:rPr>
        <w:t>г.Долгопрудный</w:t>
      </w:r>
      <w:proofErr w:type="spellEnd"/>
      <w:r>
        <w:rPr>
          <w:rFonts w:eastAsia="SimSun"/>
          <w:bCs/>
          <w:sz w:val="28"/>
        </w:rPr>
        <w:t xml:space="preserve">      </w:t>
      </w:r>
    </w:p>
    <w:p w:rsidR="009E4A89" w:rsidRDefault="004B6AA5">
      <w:pPr>
        <w:spacing w:before="100" w:beforeAutospacing="1"/>
        <w:divId w:val="1007829011"/>
      </w:pPr>
      <w:r>
        <w:rPr>
          <w:rFonts w:eastAsia="SimSun"/>
          <w:bCs/>
          <w:sz w:val="16"/>
          <w:szCs w:val="16"/>
        </w:rPr>
        <w:t>               дата</w:t>
      </w:r>
    </w:p>
    <w:p w:rsidR="009E4A89" w:rsidRDefault="004B6AA5">
      <w:pPr>
        <w:spacing w:before="100" w:beforeAutospacing="1" w:line="360" w:lineRule="auto"/>
        <w:divId w:val="1007829011"/>
      </w:pPr>
      <w:r>
        <w:rPr>
          <w:rFonts w:eastAsia="SimSun"/>
          <w:bCs/>
          <w:sz w:val="28"/>
        </w:rPr>
        <w:t> 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>Комиссией рассмотрен договор с _____________________________</w:t>
      </w:r>
      <w:proofErr w:type="gramStart"/>
      <w:r>
        <w:rPr>
          <w:rFonts w:eastAsia="SimSun"/>
          <w:sz w:val="28"/>
          <w:szCs w:val="22"/>
        </w:rPr>
        <w:t>_  на</w:t>
      </w:r>
      <w:proofErr w:type="gramEnd"/>
      <w:r>
        <w:rPr>
          <w:rFonts w:eastAsia="SimSun"/>
          <w:sz w:val="28"/>
          <w:szCs w:val="22"/>
        </w:rPr>
        <w:t xml:space="preserve"> научно-исследовательские, опытно-конструкторские и технологические работы </w:t>
      </w:r>
      <w:r>
        <w:rPr>
          <w:rFonts w:eastAsia="SimSun"/>
          <w:bCs/>
          <w:sz w:val="28"/>
        </w:rPr>
        <w:t xml:space="preserve">№ ___________ от ___________ </w:t>
      </w:r>
      <w:r>
        <w:rPr>
          <w:rFonts w:eastAsia="SimSun"/>
          <w:sz w:val="28"/>
          <w:szCs w:val="22"/>
        </w:rPr>
        <w:t>на предмет соответствия критериям отнесения договора к форме НИОКТР.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 xml:space="preserve">В рамках договора НИОКТР будут выполнены следующие работы: 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9E4A89">
        <w:trPr>
          <w:divId w:val="1007829011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both"/>
            </w:pPr>
            <w:r>
              <w:rPr>
                <w:rFonts w:eastAsia="SimSun"/>
                <w:sz w:val="28"/>
                <w:szCs w:val="22"/>
              </w:rPr>
              <w:t> </w:t>
            </w:r>
          </w:p>
        </w:tc>
      </w:tr>
      <w:tr w:rsidR="009E4A89">
        <w:trPr>
          <w:divId w:val="1007829011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both"/>
            </w:pPr>
            <w:r>
              <w:rPr>
                <w:rFonts w:eastAsia="SimSun"/>
                <w:sz w:val="28"/>
                <w:szCs w:val="22"/>
              </w:rPr>
              <w:t> </w:t>
            </w:r>
          </w:p>
        </w:tc>
      </w:tr>
      <w:tr w:rsidR="009E4A89">
        <w:trPr>
          <w:divId w:val="1007829011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both"/>
            </w:pPr>
            <w:r>
              <w:rPr>
                <w:rFonts w:eastAsia="SimSun"/>
                <w:sz w:val="28"/>
                <w:szCs w:val="22"/>
              </w:rPr>
              <w:t> </w:t>
            </w:r>
          </w:p>
        </w:tc>
      </w:tr>
    </w:tbl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 xml:space="preserve">   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sz w:val="28"/>
          <w:szCs w:val="28"/>
        </w:rPr>
        <w:t>Основополагающим признаком для отнесения выполняемых работ к НИОКТР является применение новых знаний при проведении исследований для достижения практических целей и решения конкретных задач.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sz w:val="28"/>
          <w:szCs w:val="28"/>
        </w:rPr>
        <w:t>Факт отнесения произведенных работ к категории научно-исследовательских или опытно-конструкторских подтверждается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sz w:val="28"/>
          <w:szCs w:val="28"/>
        </w:rPr>
        <w:t>- договором на выполнение научно-исследовательских, опытно-конструкторских и технологических работ;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sz w:val="28"/>
          <w:szCs w:val="28"/>
        </w:rPr>
        <w:t>- техническим заданием;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sz w:val="28"/>
          <w:szCs w:val="28"/>
        </w:rPr>
        <w:t>- письменным уведомлением (справка) заказчика, которому выделены средства непосредственно из федерального бюджета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sz w:val="28"/>
          <w:szCs w:val="28"/>
        </w:rPr>
        <w:lastRenderedPageBreak/>
        <w:t xml:space="preserve">-отчетом о проделанной работе (проведенных исследованиях), о полученном результате и т.п.; </w:t>
      </w:r>
      <w:r>
        <w:t>[оформляется в соответствии с ГОСТ 7.32-2017 и подлежит государственной регистрации в соответствии с положением утвержденным приказом Миннауки России];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sz w:val="28"/>
          <w:szCs w:val="28"/>
        </w:rPr>
        <w:t>-актами сдачи-приемки, выполненных работ (услуг);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sz w:val="28"/>
          <w:szCs w:val="28"/>
        </w:rPr>
        <w:t>-конструкторской документацией.</w:t>
      </w:r>
    </w:p>
    <w:p w:rsidR="009E4A89" w:rsidRDefault="004B6AA5">
      <w:pPr>
        <w:spacing w:before="120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 xml:space="preserve">Структура и порядок выполнения работ в рамках договора полностью соответствуют требованиям ГОСТ 15.101-2021 «Система разработки и постановки продукции на производство. Порядок выполнения научно-исследовательских работ». 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>Выполняемые работы относятся к: (выбрать)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 xml:space="preserve">-созданию новых продукции и технологий или к усовершенствованию производимой продукции и технологий, 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>- разработке конструкции инженерного объекта или технической системы;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 xml:space="preserve">- разработке новых технологий, </w:t>
      </w:r>
      <w:r>
        <w:rPr>
          <w:rFonts w:eastAsia="SimSun"/>
        </w:rPr>
        <w:t>то есть способов объединения физических, химических, технологических и других процессов с трудовыми процессами в целостную систему, производящую новую продукцию (товары, работы, услуги);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 xml:space="preserve">- создание опытных, то есть не имеющих сертификата соответствия, образцов машин, оборудования, материалов, </w:t>
      </w:r>
      <w:r>
        <w:rPr>
          <w:rFonts w:eastAsia="SimSun"/>
        </w:rPr>
        <w:t>обладающих характерными для нововведений принципиальными особенностями и не предназначенных для реализации третьим лицам, их испытание в течение времени, необходимого для получения данных, накопления опыта и отражения их в технической документации.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 xml:space="preserve"> Получаемые в ходе выполнения этапов работы результаты направлены на получение _______________________ </w:t>
      </w:r>
      <w:r>
        <w:rPr>
          <w:rFonts w:eastAsia="SimSun"/>
        </w:rPr>
        <w:t>(обоснованных исходных данных, изыскания принципов и путей создания новых и улучшения действующих алгоритмов, методик и технологий создания ……</w:t>
      </w:r>
      <w:proofErr w:type="gramStart"/>
      <w:r>
        <w:rPr>
          <w:rFonts w:eastAsia="SimSun"/>
        </w:rPr>
        <w:t>... )</w:t>
      </w:r>
      <w:proofErr w:type="gramEnd"/>
    </w:p>
    <w:p w:rsidR="009E4A89" w:rsidRDefault="004B6AA5">
      <w:pPr>
        <w:spacing w:before="120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>Согласно статье 149 Налогового кодекса Российской Федерации «Операции, не подлежащие налогообложению (освобождаемые от налогообложения)</w:t>
      </w:r>
      <w:proofErr w:type="gramStart"/>
      <w:r>
        <w:rPr>
          <w:rFonts w:eastAsia="SimSun"/>
          <w:sz w:val="28"/>
          <w:szCs w:val="22"/>
        </w:rPr>
        <w:t>»</w:t>
      </w:r>
      <w:proofErr w:type="gramEnd"/>
      <w:r>
        <w:rPr>
          <w:rFonts w:eastAsia="SimSun"/>
          <w:sz w:val="28"/>
          <w:szCs w:val="22"/>
        </w:rPr>
        <w:t xml:space="preserve"> п.3 пп.16: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 xml:space="preserve">3. Не подлежат налогообложению (освобождаются от налогообложения) на территории Российской Федерации следующие операции: (в ред. Федерального закона от 29.05.2002 N 57-ФЗ) 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 xml:space="preserve">16) выполнение научно-исследовательских и опытно-конструкторских работ за счет средств бюджетов, а также средств Российского фонда фундаментальных исследований, Российского фонда технологического </w:t>
      </w:r>
      <w:r>
        <w:rPr>
          <w:rFonts w:eastAsia="SimSun"/>
          <w:sz w:val="28"/>
          <w:szCs w:val="22"/>
        </w:rPr>
        <w:lastRenderedPageBreak/>
        <w:t>развития и образуемых для этих целей в соответствии с законодательством Российской Федерации внебюджетных фондов министерств, ведомств, ассоциаций; выполнение научно-исследовательских и опытно-конструкторских работ учреждениями образования и научными организациями на основе хозяйственных договоров; (в ред. Федеральных законов от 29.12.2000 N 166-ФЗ, от 22.07.2005 N 119-ФЗ).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> На основании вышеизложенного, комиссией делается вывод, что договор на НИОКТР № ___________ от ___________   на выполнение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>__________________________________________________________________ 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>(предмет договора)                  </w:t>
      </w:r>
    </w:p>
    <w:p w:rsidR="009E4A89" w:rsidRDefault="009E4A89">
      <w:pPr>
        <w:spacing w:before="100" w:beforeAutospacing="1"/>
        <w:jc w:val="center"/>
        <w:divId w:val="1007829011"/>
      </w:pP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 xml:space="preserve">попадает под действие </w:t>
      </w:r>
      <w:r>
        <w:rPr>
          <w:rFonts w:eastAsia="SimSun"/>
          <w:bCs/>
          <w:sz w:val="28"/>
        </w:rPr>
        <w:t xml:space="preserve">ст.149 НК РФ </w:t>
      </w:r>
      <w:r>
        <w:rPr>
          <w:rFonts w:eastAsia="SimSun"/>
          <w:sz w:val="28"/>
          <w:szCs w:val="22"/>
        </w:rPr>
        <w:t>п.3 пп.16 и освобождается от налогообложения.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> </w:t>
      </w:r>
    </w:p>
    <w:p w:rsidR="009E4A89" w:rsidRDefault="004B6AA5">
      <w:pPr>
        <w:spacing w:before="100" w:beforeAutospacing="1"/>
        <w:ind w:firstLine="851"/>
        <w:jc w:val="both"/>
        <w:divId w:val="1007829011"/>
      </w:pPr>
      <w:r>
        <w:rPr>
          <w:rFonts w:eastAsia="SimSun"/>
          <w:sz w:val="28"/>
          <w:szCs w:val="22"/>
        </w:rPr>
        <w:t> </w:t>
      </w:r>
    </w:p>
    <w:p w:rsidR="009E4A89" w:rsidRDefault="004B6AA5">
      <w:pPr>
        <w:spacing w:before="100" w:beforeAutospacing="1" w:line="360" w:lineRule="auto"/>
        <w:jc w:val="both"/>
        <w:divId w:val="1007829011"/>
      </w:pPr>
      <w:r>
        <w:rPr>
          <w:rFonts w:eastAsia="SimSun"/>
          <w:sz w:val="28"/>
          <w:szCs w:val="22"/>
        </w:rPr>
        <w:t>Председатель комиссии:</w:t>
      </w:r>
    </w:p>
    <w:p w:rsidR="009E4A89" w:rsidRDefault="004B6AA5">
      <w:pPr>
        <w:spacing w:before="100" w:beforeAutospacing="1" w:line="360" w:lineRule="auto"/>
        <w:jc w:val="both"/>
        <w:divId w:val="1007829011"/>
      </w:pPr>
      <w:r>
        <w:rPr>
          <w:rFonts w:eastAsia="SimSun"/>
          <w:sz w:val="28"/>
          <w:szCs w:val="22"/>
        </w:rPr>
        <w:t> 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>___________________                 _____________________         ___________________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0"/>
          <w:szCs w:val="20"/>
        </w:rPr>
        <w:t xml:space="preserve">             Должность                                                                           Подпись                                                        ФИО                            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0"/>
          <w:szCs w:val="20"/>
        </w:rPr>
        <w:t> 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> </w:t>
      </w:r>
    </w:p>
    <w:p w:rsidR="009E4A89" w:rsidRDefault="004B6AA5">
      <w:pPr>
        <w:spacing w:before="100" w:beforeAutospacing="1" w:after="100" w:afterAutospacing="1"/>
        <w:jc w:val="both"/>
        <w:divId w:val="1007829011"/>
      </w:pPr>
      <w:r>
        <w:rPr>
          <w:rFonts w:eastAsia="SimSun"/>
          <w:sz w:val="28"/>
          <w:szCs w:val="22"/>
        </w:rPr>
        <w:t>Члены комиссии: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>___________________                 _____________________         ___________________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0"/>
          <w:szCs w:val="20"/>
        </w:rPr>
        <w:t xml:space="preserve">             Должность                                                                           Подпись                                                        ФИО                            </w:t>
      </w:r>
    </w:p>
    <w:p w:rsidR="009E4A89" w:rsidRDefault="004B6AA5">
      <w:pPr>
        <w:spacing w:before="100" w:beforeAutospacing="1" w:after="100" w:afterAutospacing="1"/>
        <w:jc w:val="both"/>
        <w:divId w:val="1007829011"/>
      </w:pPr>
      <w:r>
        <w:rPr>
          <w:rFonts w:eastAsia="SimSun"/>
          <w:sz w:val="28"/>
          <w:szCs w:val="22"/>
        </w:rPr>
        <w:t> 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>___________________                 _____________________         ___________________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0"/>
          <w:szCs w:val="20"/>
        </w:rPr>
        <w:t xml:space="preserve">             Должность                                                                           Подпись                                                        ФИО                            </w:t>
      </w:r>
    </w:p>
    <w:p w:rsidR="009E4A89" w:rsidRDefault="004B6AA5">
      <w:pPr>
        <w:spacing w:before="100" w:beforeAutospacing="1" w:after="100" w:afterAutospacing="1"/>
        <w:jc w:val="both"/>
        <w:divId w:val="1007829011"/>
      </w:pPr>
      <w:r>
        <w:rPr>
          <w:rFonts w:eastAsia="SimSun"/>
          <w:sz w:val="28"/>
          <w:szCs w:val="22"/>
        </w:rPr>
        <w:t> 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8"/>
          <w:szCs w:val="22"/>
        </w:rPr>
        <w:t>___________________                 _____________________         ___________________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rFonts w:eastAsia="SimSun"/>
          <w:sz w:val="20"/>
          <w:szCs w:val="20"/>
        </w:rPr>
        <w:t xml:space="preserve">             Должность                                                                           Подпись                                                        ФИО                            </w:t>
      </w:r>
    </w:p>
    <w:p w:rsidR="009E4A89" w:rsidRDefault="004B6AA5">
      <w:pPr>
        <w:spacing w:before="100" w:beforeAutospacing="1" w:after="100" w:afterAutospacing="1"/>
        <w:jc w:val="both"/>
        <w:divId w:val="1007829011"/>
      </w:pPr>
      <w:r>
        <w:rPr>
          <w:rFonts w:eastAsia="SimSun"/>
          <w:sz w:val="28"/>
          <w:szCs w:val="22"/>
        </w:rPr>
        <w:t> </w:t>
      </w:r>
    </w:p>
    <w:p w:rsidR="009E4A89" w:rsidRDefault="004B6AA5" w:rsidP="007C344B">
      <w:pPr>
        <w:spacing w:before="100" w:beforeAutospacing="1"/>
        <w:ind w:firstLine="709"/>
        <w:jc w:val="both"/>
        <w:divId w:val="1007829011"/>
      </w:pPr>
      <w:r>
        <w:rPr>
          <w:b/>
          <w:bCs/>
          <w:sz w:val="28"/>
          <w:szCs w:val="28"/>
        </w:rPr>
        <w:t> 3) Порядок ведения и закрытия счетов «109.60», «109.70» и «109.80»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r>
        <w:rPr>
          <w:sz w:val="28"/>
          <w:szCs w:val="28"/>
        </w:rPr>
        <w:t xml:space="preserve">Все затраты Учреждения относятся на счета учета затрат в разрезе Финансово-лицевых счетов (далее ФЛС), ориентируясь на значение в документе «Создание настроек учета и распределения затрат (МФТИ)" в 1С-БГУ, в котором зафиксированы значения, соответствующие условиям: по направлениям деятельности и по виду работ. 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r>
        <w:rPr>
          <w:sz w:val="28"/>
          <w:szCs w:val="28"/>
        </w:rPr>
        <w:t>При создании ФЛС признаки Направления деятельности и Видов работ указывает сотрудник Финансового Отдела согласно условиям Контракта, Соглашения, Программы, Проекта и т.д.</w:t>
      </w:r>
    </w:p>
    <w:p w:rsidR="009E4A89" w:rsidRDefault="004B6AA5">
      <w:pPr>
        <w:spacing w:before="100" w:beforeAutospacing="1"/>
        <w:jc w:val="both"/>
        <w:divId w:val="1007829011"/>
      </w:pPr>
      <w:r>
        <w:rPr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5876"/>
        <w:gridCol w:w="2004"/>
      </w:tblGrid>
      <w:tr w:rsidR="009E4A89">
        <w:trPr>
          <w:divId w:val="10078290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Направление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Вид работ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Счет учета затрат</w:t>
            </w:r>
          </w:p>
        </w:tc>
      </w:tr>
      <w:tr w:rsidR="009E4A89">
        <w:trPr>
          <w:divId w:val="100782901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Все направления деятельности, кроме накладные и инфраструктура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 xml:space="preserve">Общепроизводственные, </w:t>
            </w:r>
            <w:proofErr w:type="spellStart"/>
            <w:r>
              <w:rPr>
                <w:lang w:eastAsia="zh-CN"/>
              </w:rPr>
              <w:t>КМиСОР</w:t>
            </w:r>
            <w:proofErr w:type="spellEnd"/>
            <w:r>
              <w:rPr>
                <w:lang w:eastAsia="zh-CN"/>
              </w:rPr>
              <w:t>, Представление РИД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109.70</w:t>
            </w:r>
          </w:p>
        </w:tc>
      </w:tr>
      <w:tr w:rsidR="009E4A89">
        <w:trPr>
          <w:divId w:val="10078290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89" w:rsidRDefault="009E4A89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tabs>
                <w:tab w:val="left" w:pos="989"/>
              </w:tabs>
              <w:spacing w:before="100" w:beforeAutospacing="1"/>
              <w:jc w:val="center"/>
            </w:pPr>
            <w:r>
              <w:rPr>
                <w:lang w:eastAsia="zh-CN"/>
              </w:rPr>
              <w:t>Общехозяйственные, Прочее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109.80</w:t>
            </w:r>
          </w:p>
        </w:tc>
      </w:tr>
      <w:tr w:rsidR="009E4A89">
        <w:trPr>
          <w:divId w:val="10078290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89" w:rsidRDefault="009E4A89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Пожертвование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401.20</w:t>
            </w:r>
          </w:p>
        </w:tc>
      </w:tr>
      <w:tr w:rsidR="009E4A89">
        <w:trPr>
          <w:divId w:val="10078290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89" w:rsidRDefault="009E4A89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Все остальные виды работ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109.60</w:t>
            </w:r>
          </w:p>
        </w:tc>
      </w:tr>
      <w:tr w:rsidR="009E4A89">
        <w:trPr>
          <w:divId w:val="100782901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Инфраструктура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КСП, Аренда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109.60</w:t>
            </w:r>
          </w:p>
        </w:tc>
      </w:tr>
      <w:tr w:rsidR="009E4A89">
        <w:trPr>
          <w:divId w:val="10078290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89" w:rsidRDefault="009E4A89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ВО, ДО, Реализация программ ВО, Реализация программ ДО, Услуги типографии, Инфраструктура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109.70</w:t>
            </w:r>
          </w:p>
        </w:tc>
      </w:tr>
      <w:tr w:rsidR="009E4A89">
        <w:trPr>
          <w:divId w:val="10078290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89" w:rsidRDefault="009E4A89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Услуги котельной, Прочее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109.80</w:t>
            </w:r>
          </w:p>
        </w:tc>
      </w:tr>
      <w:tr w:rsidR="009E4A89">
        <w:trPr>
          <w:divId w:val="100782901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Накладные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 xml:space="preserve">ВО, ДО, Наука, Реализация программ ВО, Реализация программ ДО, НИР, Научно-технические услуги, НИР/НИОКР, НИР/НИЭР, </w:t>
            </w:r>
            <w:proofErr w:type="spellStart"/>
            <w:r>
              <w:rPr>
                <w:lang w:eastAsia="zh-CN"/>
              </w:rPr>
              <w:t>НИРиУ</w:t>
            </w:r>
            <w:proofErr w:type="spellEnd"/>
            <w:r>
              <w:rPr>
                <w:lang w:eastAsia="zh-CN"/>
              </w:rPr>
              <w:t xml:space="preserve"> с НДС, ОКР, Прикладные научные исследования (ПНИ), ГЗ-наука, Грант, Грант в форме субсидий, </w:t>
            </w:r>
            <w:proofErr w:type="spellStart"/>
            <w:r>
              <w:rPr>
                <w:lang w:eastAsia="zh-CN"/>
              </w:rPr>
              <w:t>ФЦПиР</w:t>
            </w:r>
            <w:proofErr w:type="spellEnd"/>
            <w:r>
              <w:rPr>
                <w:lang w:eastAsia="zh-CN"/>
              </w:rPr>
              <w:t>, Общепроизводственные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109.70</w:t>
            </w:r>
          </w:p>
        </w:tc>
      </w:tr>
      <w:tr w:rsidR="009E4A89">
        <w:trPr>
          <w:divId w:val="10078290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89" w:rsidRDefault="009E4A89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Инфраструктура, Прочее, Общехозяйственные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109.80</w:t>
            </w:r>
          </w:p>
        </w:tc>
      </w:tr>
      <w:tr w:rsidR="009E4A89">
        <w:trPr>
          <w:divId w:val="10078290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89" w:rsidRDefault="009E4A89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Пожертвование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89" w:rsidRDefault="004B6AA5">
            <w:pPr>
              <w:spacing w:before="100" w:beforeAutospacing="1"/>
              <w:jc w:val="center"/>
            </w:pPr>
            <w:r>
              <w:rPr>
                <w:lang w:eastAsia="zh-CN"/>
              </w:rPr>
              <w:t>401.20</w:t>
            </w:r>
          </w:p>
        </w:tc>
      </w:tr>
    </w:tbl>
    <w:p w:rsidR="009E4A89" w:rsidRDefault="004B6AA5">
      <w:pPr>
        <w:spacing w:before="100" w:beforeAutospacing="1"/>
        <w:divId w:val="1007829011"/>
      </w:pPr>
      <w:r>
        <w:rPr>
          <w:sz w:val="28"/>
          <w:szCs w:val="28"/>
        </w:rPr>
        <w:t> 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r>
        <w:rPr>
          <w:sz w:val="28"/>
          <w:szCs w:val="28"/>
        </w:rPr>
        <w:t>Если ФЛС имеет признак «-н», то вид работ устанавливается "Общепроизводственные", счет учета затрат 109.70.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r>
        <w:rPr>
          <w:sz w:val="28"/>
          <w:szCs w:val="28"/>
        </w:rPr>
        <w:t xml:space="preserve">Закрытие счета 109.70 на 109.60 проводится по подразделению верхнего уровня ФЛС, пропорционально сумме зарплаты по проектам. 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r>
        <w:rPr>
          <w:sz w:val="28"/>
          <w:szCs w:val="28"/>
        </w:rPr>
        <w:t>Закрытие счета 109.80 на 109.60 производится пропорционально сумме прямой заработной плате в месяц их возникновения.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r>
        <w:rPr>
          <w:sz w:val="28"/>
          <w:szCs w:val="28"/>
        </w:rPr>
        <w:t>Отнесение себестоимости выполненных МФТИ работ, оказанных услуг на уменьшение финансового результата отражается по дебету счета 401.10.130 "Доходы от оказания платных услуг (работ)" и кредиту счета 109.60 "Прямые затраты на изготовление готовой продукции, выполнение работ, оказание услуг".</w:t>
      </w:r>
    </w:p>
    <w:p w:rsidR="009E4A89" w:rsidRDefault="004B6AA5">
      <w:pPr>
        <w:spacing w:before="100" w:beforeAutospacing="1"/>
        <w:ind w:firstLine="709"/>
        <w:jc w:val="both"/>
        <w:divId w:val="1007829011"/>
      </w:pPr>
      <w:r>
        <w:rPr>
          <w:i/>
          <w:iCs/>
          <w:sz w:val="28"/>
          <w:szCs w:val="28"/>
        </w:rPr>
        <w:t xml:space="preserve">Основание: </w:t>
      </w:r>
      <w:r>
        <w:rPr>
          <w:i/>
          <w:iCs/>
          <w:sz w:val="28"/>
          <w:szCs w:val="28"/>
          <w:shd w:val="clear" w:color="auto" w:fill="FFFFFF"/>
        </w:rPr>
        <w:t>пункт 180 Инструкции 183н от 23.12.2010г.</w:t>
      </w:r>
    </w:p>
    <w:p w:rsidR="009E4A89" w:rsidRDefault="004B6AA5">
      <w:pPr>
        <w:shd w:val="clear" w:color="auto" w:fill="FFFFFF"/>
        <w:tabs>
          <w:tab w:val="left" w:pos="0"/>
        </w:tabs>
        <w:spacing w:after="120"/>
        <w:ind w:right="14"/>
        <w:jc w:val="center"/>
        <w:divId w:val="1007829011"/>
      </w:pPr>
      <w:r>
        <w:rPr>
          <w:b/>
          <w:bCs/>
          <w:spacing w:val="-13"/>
          <w:sz w:val="28"/>
          <w:szCs w:val="28"/>
        </w:rPr>
        <w:t>4) Порядок взаимодействия с Наблюдательным советом по вопросам, касающимся деятельности зависимых и дочерних предприятий</w:t>
      </w:r>
    </w:p>
    <w:p w:rsidR="009E4A89" w:rsidRDefault="004B6AA5">
      <w:pPr>
        <w:shd w:val="clear" w:color="auto" w:fill="FFFFFF"/>
        <w:tabs>
          <w:tab w:val="left" w:pos="0"/>
        </w:tabs>
        <w:spacing w:before="100" w:beforeAutospacing="1"/>
        <w:ind w:firstLine="709"/>
        <w:jc w:val="both"/>
        <w:divId w:val="1007829011"/>
      </w:pPr>
      <w:r>
        <w:rPr>
          <w:spacing w:val="-13"/>
          <w:sz w:val="28"/>
          <w:szCs w:val="28"/>
        </w:rPr>
        <w:t xml:space="preserve">Наблюдательный совет университета рассматривает предложения ректора об участии университета в других юридических лицах, в </w:t>
      </w:r>
      <w:proofErr w:type="spellStart"/>
      <w:r>
        <w:rPr>
          <w:spacing w:val="-13"/>
          <w:sz w:val="28"/>
          <w:szCs w:val="28"/>
        </w:rPr>
        <w:t>т.ч</w:t>
      </w:r>
      <w:proofErr w:type="spellEnd"/>
      <w:r>
        <w:rPr>
          <w:spacing w:val="-13"/>
          <w:sz w:val="28"/>
          <w:szCs w:val="28"/>
        </w:rPr>
        <w:t>. о внесении денежных средств или иного имущества в уставный (складочный) капитал других юридических лиц или передаче такого имущества иным образом другим юридическим лицам в качестве учредителя или участника.</w:t>
      </w:r>
    </w:p>
    <w:p w:rsidR="009E4A89" w:rsidRDefault="004B6AA5">
      <w:pPr>
        <w:shd w:val="clear" w:color="auto" w:fill="FFFFFF"/>
        <w:tabs>
          <w:tab w:val="left" w:pos="0"/>
        </w:tabs>
        <w:spacing w:before="100" w:beforeAutospacing="1"/>
        <w:ind w:firstLine="709"/>
        <w:jc w:val="both"/>
        <w:divId w:val="1007829011"/>
      </w:pPr>
      <w:r>
        <w:rPr>
          <w:i/>
          <w:iCs/>
          <w:spacing w:val="-13"/>
          <w:sz w:val="28"/>
          <w:szCs w:val="28"/>
        </w:rPr>
        <w:t>Основание: пункт 4.21 подпункт 5 Устава университета.</w:t>
      </w:r>
    </w:p>
    <w:p w:rsidR="009E4A89" w:rsidRDefault="004B6AA5">
      <w:pPr>
        <w:shd w:val="clear" w:color="auto" w:fill="FFFFFF"/>
        <w:tabs>
          <w:tab w:val="left" w:pos="0"/>
        </w:tabs>
        <w:spacing w:before="100" w:beforeAutospacing="1"/>
        <w:ind w:firstLine="709"/>
        <w:jc w:val="both"/>
        <w:divId w:val="1007829011"/>
      </w:pPr>
      <w:r>
        <w:rPr>
          <w:spacing w:val="-13"/>
          <w:sz w:val="28"/>
          <w:szCs w:val="28"/>
        </w:rPr>
        <w:t>По вопросу, указанному в пункте 4.21 подпункта 5 устава, наблюдательный совет дает заключение. После рассмотрения заключения наблюдательного совета ректор принимает решение.</w:t>
      </w:r>
    </w:p>
    <w:p w:rsidR="009E4A89" w:rsidRDefault="004B6AA5">
      <w:pPr>
        <w:shd w:val="clear" w:color="auto" w:fill="FFFFFF"/>
        <w:tabs>
          <w:tab w:val="left" w:pos="0"/>
        </w:tabs>
        <w:spacing w:before="100" w:beforeAutospacing="1"/>
        <w:ind w:firstLine="709"/>
        <w:jc w:val="both"/>
        <w:divId w:val="1007829011"/>
      </w:pPr>
      <w:r>
        <w:rPr>
          <w:i/>
          <w:iCs/>
          <w:spacing w:val="-13"/>
          <w:sz w:val="28"/>
          <w:szCs w:val="28"/>
        </w:rPr>
        <w:t>Основание: пункт 4.23 Устава университета.</w:t>
      </w:r>
    </w:p>
    <w:p w:rsidR="009E4A89" w:rsidRDefault="004B6AA5" w:rsidP="004B6AA5">
      <w:pPr>
        <w:keepNext/>
        <w:shd w:val="clear" w:color="auto" w:fill="FFFFFF"/>
        <w:tabs>
          <w:tab w:val="left" w:pos="0"/>
        </w:tabs>
        <w:spacing w:before="100" w:beforeAutospacing="1"/>
        <w:ind w:firstLine="709"/>
        <w:jc w:val="both"/>
        <w:divId w:val="1007829011"/>
      </w:pPr>
      <w:r>
        <w:rPr>
          <w:spacing w:val="-13"/>
          <w:sz w:val="28"/>
          <w:szCs w:val="28"/>
        </w:rPr>
        <w:t xml:space="preserve">После принятия соответствующего решения информация об участии университета в других юридических лицах, в </w:t>
      </w:r>
      <w:proofErr w:type="spellStart"/>
      <w:r>
        <w:rPr>
          <w:spacing w:val="-13"/>
          <w:sz w:val="28"/>
          <w:szCs w:val="28"/>
        </w:rPr>
        <w:t>т.ч</w:t>
      </w:r>
      <w:proofErr w:type="spellEnd"/>
      <w:r>
        <w:rPr>
          <w:spacing w:val="-13"/>
          <w:sz w:val="28"/>
          <w:szCs w:val="28"/>
        </w:rPr>
        <w:t>. о внесении денежных средств или иного имущества в уставный (складочный) капитал других юридических лиц или передаче такого имущества иным образом другим юридическим лицам в качестве учредителя или участника передается главному бухгалтеру в отдел бухгалтерского учета.</w:t>
      </w:r>
    </w:p>
    <w:p w:rsidR="009E4A89" w:rsidRDefault="004B6AA5" w:rsidP="004B6AA5">
      <w:pPr>
        <w:keepNext/>
        <w:spacing w:before="100" w:beforeAutospacing="1" w:after="100" w:afterAutospacing="1"/>
        <w:divId w:val="1007829011"/>
      </w:pPr>
      <w:r>
        <w:rPr>
          <w:sz w:val="28"/>
          <w:szCs w:val="28"/>
        </w:rPr>
        <w:t> </w:t>
      </w:r>
    </w:p>
    <w:p w:rsidR="009E4A89" w:rsidRDefault="004B6AA5" w:rsidP="004B6AA5">
      <w:pPr>
        <w:keepNext/>
        <w:spacing w:before="100" w:beforeAutospacing="1" w:after="100" w:afterAutospacing="1"/>
        <w:divId w:val="1007829011"/>
      </w:pPr>
      <w:r>
        <w:rPr>
          <w:sz w:val="28"/>
          <w:szCs w:val="28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E4A89">
        <w:trPr>
          <w:divId w:val="256643862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9E4A89" w:rsidRDefault="004B6AA5" w:rsidP="004B6AA5">
            <w:pPr>
              <w:pStyle w:val="a6"/>
              <w:keepNext/>
            </w:pPr>
            <w:r>
              <w:t>Ректор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9E4A89" w:rsidRDefault="004B6AA5" w:rsidP="004B6AA5">
            <w:pPr>
              <w:pStyle w:val="a6"/>
              <w:keepNext/>
              <w:jc w:val="right"/>
            </w:pPr>
            <w:r>
              <w:t>Д.В. Ливанов</w:t>
            </w:r>
          </w:p>
        </w:tc>
      </w:tr>
    </w:tbl>
    <w:p w:rsidR="009E4A89" w:rsidRDefault="004B6AA5">
      <w:pPr>
        <w:spacing w:before="100" w:beforeAutospacing="1"/>
        <w:jc w:val="center"/>
        <w:divId w:val="1339888935"/>
      </w:pPr>
      <w:r>
        <w:rPr>
          <w:noProof/>
          <w:color w:val="F3F3F3"/>
          <w:sz w:val="20"/>
          <w:szCs w:val="20"/>
        </w:rPr>
        <w:drawing>
          <wp:inline distT="0" distB="0" distL="0" distR="0">
            <wp:extent cx="4539615" cy="1080000"/>
            <wp:effectExtent l="19050" t="0" r="0" b="0"/>
            <wp:docPr id="800" name="ИмяТэг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Picture_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 </w:t>
      </w:r>
    </w:p>
    <w:sectPr w:rsidR="009E4A89" w:rsidSect="007C344B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A5"/>
    <w:rsid w:val="00397CA2"/>
    <w:rsid w:val="004B6AA5"/>
    <w:rsid w:val="007C344B"/>
    <w:rsid w:val="009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C2044"/>
  <w15:chartTrackingRefBased/>
  <w15:docId w15:val="{28C3FD55-8DD0-4A63-A4E1-34865C81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11274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MIPT</Company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Маркина Ксения Валериевна</cp:lastModifiedBy>
  <cp:revision>2</cp:revision>
  <dcterms:created xsi:type="dcterms:W3CDTF">2024-01-09T14:37:00Z</dcterms:created>
  <dcterms:modified xsi:type="dcterms:W3CDTF">2024-01-09T14:37:00Z</dcterms:modified>
</cp:coreProperties>
</file>